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FD40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67E69DDC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413C7799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6B70C11D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179F9E0E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6908615E" w14:textId="659A9C34" w:rsidR="00CA36D7" w:rsidRDefault="00CA36D7" w:rsidP="00CA36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6D7">
        <w:rPr>
          <w:rFonts w:ascii="Times New Roman" w:hAnsi="Times New Roman" w:cs="Times New Roman"/>
          <w:b/>
          <w:bCs/>
          <w:sz w:val="24"/>
          <w:szCs w:val="24"/>
        </w:rPr>
        <w:t>Accounting Analysis</w:t>
      </w:r>
    </w:p>
    <w:p w14:paraId="776765EE" w14:textId="4A39B7BF" w:rsidR="00CA36D7" w:rsidRPr="00CA36D7" w:rsidRDefault="00CA36D7" w:rsidP="00CA36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6D7">
        <w:rPr>
          <w:rFonts w:ascii="Times New Roman" w:hAnsi="Times New Roman" w:cs="Times New Roman"/>
          <w:sz w:val="24"/>
          <w:szCs w:val="24"/>
        </w:rPr>
        <w:t>Author’s Name</w:t>
      </w:r>
    </w:p>
    <w:p w14:paraId="715C513A" w14:textId="3242E998" w:rsidR="00CA36D7" w:rsidRPr="00CA36D7" w:rsidRDefault="00CA36D7" w:rsidP="00CA36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6D7">
        <w:rPr>
          <w:rFonts w:ascii="Times New Roman" w:hAnsi="Times New Roman" w:cs="Times New Roman"/>
          <w:sz w:val="24"/>
          <w:szCs w:val="24"/>
        </w:rPr>
        <w:t>Institutional Name</w:t>
      </w:r>
    </w:p>
    <w:p w14:paraId="4C083C8B" w14:textId="66898315" w:rsidR="00CA36D7" w:rsidRPr="00CA36D7" w:rsidRDefault="00CA36D7" w:rsidP="00CA36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6D7">
        <w:rPr>
          <w:rFonts w:ascii="Times New Roman" w:hAnsi="Times New Roman" w:cs="Times New Roman"/>
          <w:sz w:val="24"/>
          <w:szCs w:val="24"/>
        </w:rPr>
        <w:t>Course</w:t>
      </w:r>
    </w:p>
    <w:p w14:paraId="4476AC7F" w14:textId="0D6B39F1" w:rsidR="00CA36D7" w:rsidRDefault="00CA36D7" w:rsidP="00CA3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E85597" w14:textId="5504BFE7" w:rsidR="00CA36D7" w:rsidRPr="00CA36D7" w:rsidRDefault="00CA36D7" w:rsidP="00CA3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91F52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6C431848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6A43AAA2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39C90FA1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73E4A913" w14:textId="77777777" w:rsidR="00CA36D7" w:rsidRDefault="00CA36D7">
      <w:pPr>
        <w:rPr>
          <w:rFonts w:ascii="Times New Roman" w:hAnsi="Times New Roman" w:cs="Times New Roman"/>
          <w:sz w:val="24"/>
          <w:szCs w:val="24"/>
        </w:rPr>
      </w:pPr>
    </w:p>
    <w:p w14:paraId="423312B1" w14:textId="234AF3C7" w:rsidR="00CA36D7" w:rsidRDefault="00CA36D7" w:rsidP="00CA36D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D76E786" w14:textId="77777777" w:rsidR="00CA36D7" w:rsidRDefault="00CA36D7" w:rsidP="00CA36D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EFD142" w14:textId="65CEBDCE" w:rsidR="00CA36D7" w:rsidRPr="00CA36D7" w:rsidRDefault="00CA36D7" w:rsidP="00CA36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6D7">
        <w:rPr>
          <w:rFonts w:ascii="Times New Roman" w:hAnsi="Times New Roman" w:cs="Times New Roman"/>
          <w:b/>
          <w:bCs/>
          <w:sz w:val="24"/>
          <w:szCs w:val="24"/>
        </w:rPr>
        <w:lastRenderedPageBreak/>
        <w:t>Accounting Analysis</w:t>
      </w:r>
    </w:p>
    <w:p w14:paraId="63743AC9" w14:textId="46F41C55" w:rsidR="00943257" w:rsidRPr="00CA36D7" w:rsidRDefault="0042308D">
      <w:pPr>
        <w:rPr>
          <w:rFonts w:ascii="Times New Roman" w:hAnsi="Times New Roman" w:cs="Times New Roman"/>
          <w:sz w:val="24"/>
          <w:szCs w:val="24"/>
        </w:rPr>
      </w:pPr>
      <w:r w:rsidRPr="00CA36D7">
        <w:rPr>
          <w:rFonts w:ascii="Times New Roman" w:hAnsi="Times New Roman" w:cs="Times New Roman"/>
          <w:sz w:val="24"/>
          <w:szCs w:val="24"/>
        </w:rPr>
        <w:t xml:space="preserve">The oil spill event had a severe impact on </w:t>
      </w:r>
      <w:r w:rsidR="00CA36D7" w:rsidRPr="00CA36D7">
        <w:rPr>
          <w:rFonts w:ascii="Times New Roman" w:hAnsi="Times New Roman" w:cs="Times New Roman"/>
          <w:sz w:val="24"/>
          <w:szCs w:val="24"/>
        </w:rPr>
        <w:t>the</w:t>
      </w:r>
      <w:r w:rsidRPr="00CA36D7">
        <w:rPr>
          <w:rFonts w:ascii="Times New Roman" w:hAnsi="Times New Roman" w:cs="Times New Roman"/>
          <w:sz w:val="24"/>
          <w:szCs w:val="24"/>
        </w:rPr>
        <w:t xml:space="preserve"> financial performance of B.P. company. Its effect was manifested both in the income statement and the statement of financial position, also known as the balance sheet. </w:t>
      </w:r>
      <w:r w:rsidR="001C7BF5" w:rsidRPr="00CA36D7">
        <w:rPr>
          <w:rFonts w:ascii="Times New Roman" w:hAnsi="Times New Roman" w:cs="Times New Roman"/>
          <w:sz w:val="24"/>
          <w:szCs w:val="24"/>
        </w:rPr>
        <w:t xml:space="preserve">The event increased the company's cost drastically increased the company's liabilities both the short term and the long term. Consequently, the net effect brought about a negative </w:t>
      </w:r>
      <w:r w:rsidR="00A3760E" w:rsidRPr="00CA36D7">
        <w:rPr>
          <w:rFonts w:ascii="Times New Roman" w:hAnsi="Times New Roman" w:cs="Times New Roman"/>
          <w:sz w:val="24"/>
          <w:szCs w:val="24"/>
        </w:rPr>
        <w:t xml:space="preserve">net asset </w:t>
      </w:r>
      <w:r w:rsidR="001C7BF5" w:rsidRPr="00CA36D7">
        <w:rPr>
          <w:rFonts w:ascii="Times New Roman" w:hAnsi="Times New Roman" w:cs="Times New Roman"/>
          <w:sz w:val="24"/>
          <w:szCs w:val="24"/>
        </w:rPr>
        <w:t>which basically threatened its going concern basis.</w:t>
      </w:r>
      <w:r w:rsidR="00A3760E" w:rsidRPr="00CA36D7">
        <w:rPr>
          <w:rFonts w:ascii="Times New Roman" w:hAnsi="Times New Roman" w:cs="Times New Roman"/>
          <w:sz w:val="24"/>
          <w:szCs w:val="24"/>
        </w:rPr>
        <w:t xml:space="preserve"> As </w:t>
      </w:r>
      <w:r w:rsidR="007A4658" w:rsidRPr="00CA36D7">
        <w:rPr>
          <w:rFonts w:ascii="Times New Roman" w:hAnsi="Times New Roman" w:cs="Times New Roman"/>
          <w:sz w:val="24"/>
          <w:szCs w:val="24"/>
        </w:rPr>
        <w:t>of</w:t>
      </w:r>
      <w:r w:rsidR="00A3760E" w:rsidRPr="00CA36D7">
        <w:rPr>
          <w:rFonts w:ascii="Times New Roman" w:hAnsi="Times New Roman" w:cs="Times New Roman"/>
          <w:sz w:val="24"/>
          <w:szCs w:val="24"/>
        </w:rPr>
        <w:t xml:space="preserve"> </w:t>
      </w:r>
      <w:r w:rsidR="00A3760E"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September 30, 2010, </w:t>
      </w:r>
      <w:r w:rsidR="00CA36D7"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</w:t>
      </w:r>
      <w:r w:rsidR="00A3760E"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net as an asset of B.P.'s stood at </w:t>
      </w:r>
      <w:r w:rsidR="00A3760E" w:rsidRPr="00CA36D7">
        <w:rPr>
          <w:rFonts w:ascii="Times New Roman" w:hAnsi="Times New Roman" w:cs="Times New Roman"/>
          <w:sz w:val="24"/>
          <w:szCs w:val="24"/>
        </w:rPr>
        <w:t>(16,684).</w:t>
      </w:r>
      <w:r w:rsidR="007A4658" w:rsidRPr="00CA36D7">
        <w:rPr>
          <w:rFonts w:ascii="Times New Roman" w:hAnsi="Times New Roman" w:cs="Times New Roman"/>
          <w:sz w:val="24"/>
          <w:szCs w:val="24"/>
        </w:rPr>
        <w:t xml:space="preserve"> </w:t>
      </w:r>
      <w:r w:rsidR="00A3760E" w:rsidRPr="00CA36D7">
        <w:rPr>
          <w:rFonts w:ascii="Times New Roman" w:hAnsi="Times New Roman" w:cs="Times New Roman"/>
          <w:sz w:val="24"/>
          <w:szCs w:val="24"/>
        </w:rPr>
        <w:t>However, this is a reduction from</w:t>
      </w:r>
      <w:r w:rsidR="007A4658" w:rsidRPr="00CA36D7">
        <w:rPr>
          <w:rFonts w:ascii="Times New Roman" w:hAnsi="Times New Roman" w:cs="Times New Roman"/>
          <w:sz w:val="24"/>
          <w:szCs w:val="24"/>
        </w:rPr>
        <w:t xml:space="preserve"> (20,636)</w:t>
      </w:r>
      <w:r w:rsidR="00A3760E" w:rsidRPr="00CA36D7">
        <w:rPr>
          <w:rFonts w:ascii="Times New Roman" w:hAnsi="Times New Roman" w:cs="Times New Roman"/>
          <w:sz w:val="24"/>
          <w:szCs w:val="24"/>
        </w:rPr>
        <w:t xml:space="preserve"> the previous </w:t>
      </w:r>
      <w:r w:rsidR="007A4658" w:rsidRPr="00CA36D7">
        <w:rPr>
          <w:rFonts w:ascii="Times New Roman" w:hAnsi="Times New Roman" w:cs="Times New Roman"/>
          <w:sz w:val="24"/>
          <w:szCs w:val="24"/>
        </w:rPr>
        <w:t xml:space="preserve">quarter due to several preventive </w:t>
      </w:r>
      <w:r w:rsidR="00CA36D7" w:rsidRPr="00CA36D7">
        <w:rPr>
          <w:rFonts w:ascii="Times New Roman" w:hAnsi="Times New Roman" w:cs="Times New Roman"/>
          <w:sz w:val="24"/>
          <w:szCs w:val="24"/>
        </w:rPr>
        <w:t>measures. This</w:t>
      </w:r>
      <w:r w:rsidR="007A4658" w:rsidRPr="00CA36D7">
        <w:rPr>
          <w:rFonts w:ascii="Times New Roman" w:hAnsi="Times New Roman" w:cs="Times New Roman"/>
          <w:sz w:val="24"/>
          <w:szCs w:val="24"/>
        </w:rPr>
        <w:t xml:space="preserve"> translates to an increase of 3952 of the net </w:t>
      </w:r>
      <w:r w:rsidR="00CA36D7" w:rsidRPr="00CA36D7">
        <w:rPr>
          <w:rFonts w:ascii="Times New Roman" w:hAnsi="Times New Roman" w:cs="Times New Roman"/>
          <w:sz w:val="24"/>
          <w:szCs w:val="24"/>
        </w:rPr>
        <w:t>assets</w:t>
      </w:r>
      <w:r w:rsidR="007A4658" w:rsidRPr="00CA36D7">
        <w:rPr>
          <w:rFonts w:ascii="Times New Roman" w:hAnsi="Times New Roman" w:cs="Times New Roman"/>
          <w:sz w:val="24"/>
          <w:szCs w:val="24"/>
        </w:rPr>
        <w:t>.</w:t>
      </w:r>
    </w:p>
    <w:p w14:paraId="7D00195B" w14:textId="77777777" w:rsidR="00686E9C" w:rsidRPr="00CA36D7" w:rsidRDefault="0042308D" w:rsidP="00686E9C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balances of the liabilities labeled Provisions and Escrow account </w:t>
      </w:r>
      <w:proofErr w:type="gramStart"/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at</w:t>
      </w:r>
      <w:proofErr w:type="gramEnd"/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Se</w:t>
      </w:r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ptember 30, 2010, are as follows. </w:t>
      </w:r>
      <w:r w:rsidRPr="00CA36D7">
        <w:rPr>
          <w:rFonts w:ascii="Times New Roman" w:hAnsi="Times New Roman" w:cs="Times New Roman"/>
          <w:sz w:val="24"/>
          <w:szCs w:val="24"/>
        </w:rPr>
        <w:t>Escrow account liability (5,750)</w:t>
      </w:r>
      <w:r w:rsidR="00A3760E" w:rsidRPr="00CA36D7">
        <w:rPr>
          <w:rFonts w:ascii="Times New Roman" w:hAnsi="Times New Roman" w:cs="Times New Roman"/>
          <w:sz w:val="24"/>
          <w:szCs w:val="24"/>
        </w:rPr>
        <w:t xml:space="preserve">, current provisions are (11,343) while the long-term provision is (5,062). </w:t>
      </w:r>
      <w:r w:rsidR="00A3760E"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Provision and Escrow account liabilities appear on both the current and the noncurrent liabilities of B.P.'s balance sheet, as stated previously.</w:t>
      </w:r>
    </w:p>
    <w:p w14:paraId="07D9A29C" w14:textId="35E030D2" w:rsidR="00A3760E" w:rsidRDefault="0042308D" w:rsidP="00A3760E">
      <w:pPr>
        <w:ind w:firstLine="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Calculate the change in the Provision liability during the third quarter of 2010.</w:t>
      </w:r>
    </w:p>
    <w:p w14:paraId="74BDB1B7" w14:textId="77777777" w:rsidR="00CA36D7" w:rsidRPr="00CA36D7" w:rsidRDefault="00CA36D7" w:rsidP="00A3760E">
      <w:pPr>
        <w:ind w:firstLine="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433FF989" w14:textId="77777777" w:rsidR="007A4658" w:rsidRPr="00CA36D7" w:rsidRDefault="0042308D" w:rsidP="007A4658">
      <w:pPr>
        <w:ind w:firstLine="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A36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96E5D0" wp14:editId="12FB0FF7">
            <wp:extent cx="3990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E5D3" w14:textId="187911B6" w:rsidR="001D5608" w:rsidRPr="00CA36D7" w:rsidRDefault="0042308D" w:rsidP="007A4658">
      <w:pPr>
        <w:ind w:firstLine="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 Journal entry B.P. recorded concerning this liability in the third quarter of </w:t>
      </w:r>
      <w:r w:rsidR="00CA36D7" w:rsidRPr="00CA36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2010.</w:t>
      </w:r>
    </w:p>
    <w:p w14:paraId="3C017617" w14:textId="77777777" w:rsidR="001D5608" w:rsidRPr="00CA36D7" w:rsidRDefault="0042308D" w:rsidP="007A4658">
      <w:pPr>
        <w:ind w:firstLine="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A36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A0416F" wp14:editId="52FB1CD5">
            <wp:extent cx="4086225" cy="1819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312A" w14:textId="77777777" w:rsidR="001D5608" w:rsidRPr="00CA36D7" w:rsidRDefault="001D5608" w:rsidP="007A4658">
      <w:pPr>
        <w:ind w:firstLine="0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sectPr w:rsidR="001D5608" w:rsidRPr="00CA36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76BC6" w14:textId="77777777" w:rsidR="0042308D" w:rsidRDefault="0042308D" w:rsidP="00CA36D7">
      <w:pPr>
        <w:spacing w:after="0" w:line="240" w:lineRule="auto"/>
      </w:pPr>
      <w:r>
        <w:separator/>
      </w:r>
    </w:p>
  </w:endnote>
  <w:endnote w:type="continuationSeparator" w:id="0">
    <w:p w14:paraId="13386CF0" w14:textId="77777777" w:rsidR="0042308D" w:rsidRDefault="0042308D" w:rsidP="00C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FF899" w14:textId="77777777" w:rsidR="0042308D" w:rsidRDefault="0042308D" w:rsidP="00CA36D7">
      <w:pPr>
        <w:spacing w:after="0" w:line="240" w:lineRule="auto"/>
      </w:pPr>
      <w:r>
        <w:separator/>
      </w:r>
    </w:p>
  </w:footnote>
  <w:footnote w:type="continuationSeparator" w:id="0">
    <w:p w14:paraId="319637C0" w14:textId="77777777" w:rsidR="0042308D" w:rsidRDefault="0042308D" w:rsidP="00C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60056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9F18B5" w14:textId="060EEF2D" w:rsidR="00CA36D7" w:rsidRDefault="00CA36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09298" w14:textId="77777777" w:rsidR="00CA36D7" w:rsidRDefault="00CA3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85"/>
    <w:rsid w:val="001C7BF5"/>
    <w:rsid w:val="001D5608"/>
    <w:rsid w:val="0042308D"/>
    <w:rsid w:val="00686E9C"/>
    <w:rsid w:val="007A4658"/>
    <w:rsid w:val="008318A4"/>
    <w:rsid w:val="00860285"/>
    <w:rsid w:val="00943257"/>
    <w:rsid w:val="00A3760E"/>
    <w:rsid w:val="00C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957F"/>
  <w15:chartTrackingRefBased/>
  <w15:docId w15:val="{B0333C48-9A8C-42A2-B080-176E722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D7"/>
  </w:style>
  <w:style w:type="paragraph" w:styleId="Footer">
    <w:name w:val="footer"/>
    <w:basedOn w:val="Normal"/>
    <w:link w:val="FooterChar"/>
    <w:uiPriority w:val="99"/>
    <w:unhideWhenUsed/>
    <w:rsid w:val="00CA3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Dagra</dc:creator>
  <cp:lastModifiedBy>Dagra</cp:lastModifiedBy>
  <cp:revision>3</cp:revision>
  <dcterms:created xsi:type="dcterms:W3CDTF">2021-02-20T19:00:00Z</dcterms:created>
  <dcterms:modified xsi:type="dcterms:W3CDTF">2021-02-20T19:11:00Z</dcterms:modified>
</cp:coreProperties>
</file>